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40" w:rsidRPr="00D15E61" w:rsidRDefault="00596C40" w:rsidP="00AF4A49">
      <w:pPr>
        <w:spacing w:line="360" w:lineRule="auto"/>
        <w:jc w:val="center"/>
        <w:rPr>
          <w:rFonts w:eastAsia="Calibri"/>
          <w:b/>
          <w:kern w:val="2"/>
          <w:lang w:eastAsia="en-US"/>
        </w:rPr>
      </w:pPr>
      <w:r w:rsidRPr="00D15E61">
        <w:rPr>
          <w:rFonts w:eastAsia="Calibri"/>
          <w:b/>
          <w:kern w:val="2"/>
          <w:lang w:eastAsia="en-US"/>
        </w:rPr>
        <w:t>AVISO DE DISPENSA DE LICITAÇÃO</w:t>
      </w:r>
    </w:p>
    <w:p w:rsidR="00596C40" w:rsidRDefault="00596C40" w:rsidP="00AF4A49">
      <w:pPr>
        <w:spacing w:line="360" w:lineRule="auto"/>
        <w:jc w:val="center"/>
        <w:rPr>
          <w:rFonts w:eastAsia="Calibri"/>
          <w:b/>
          <w:kern w:val="2"/>
          <w:lang w:eastAsia="en-US"/>
        </w:rPr>
      </w:pPr>
      <w:r w:rsidRPr="00D15E61">
        <w:rPr>
          <w:rFonts w:eastAsia="Calibri"/>
          <w:b/>
          <w:kern w:val="2"/>
          <w:lang w:eastAsia="en-US"/>
        </w:rPr>
        <w:t>(</w:t>
      </w:r>
      <w:proofErr w:type="gramStart"/>
      <w:r w:rsidRPr="00D15E61">
        <w:rPr>
          <w:rFonts w:eastAsia="Calibri"/>
          <w:b/>
          <w:kern w:val="2"/>
          <w:lang w:eastAsia="en-US"/>
        </w:rPr>
        <w:t>art.</w:t>
      </w:r>
      <w:proofErr w:type="gramEnd"/>
      <w:r w:rsidRPr="00D15E61">
        <w:rPr>
          <w:rFonts w:eastAsia="Calibri"/>
          <w:b/>
          <w:kern w:val="2"/>
          <w:lang w:eastAsia="en-US"/>
        </w:rPr>
        <w:t xml:space="preserve"> 75, I e II da Lei 14.133/2021)</w:t>
      </w:r>
    </w:p>
    <w:p w:rsidR="00023FB1" w:rsidRPr="001B3BDF" w:rsidRDefault="00023FB1" w:rsidP="00AF4A49">
      <w:pPr>
        <w:spacing w:line="360" w:lineRule="auto"/>
        <w:ind w:right="-11"/>
        <w:jc w:val="center"/>
        <w:rPr>
          <w:rFonts w:eastAsia="Calibri"/>
          <w:b/>
          <w:bCs/>
          <w:lang w:eastAsia="en-US"/>
        </w:rPr>
      </w:pPr>
      <w:r w:rsidRPr="005842F5">
        <w:rPr>
          <w:rFonts w:eastAsia="Calibri"/>
          <w:b/>
          <w:lang w:eastAsia="en-US"/>
        </w:rPr>
        <w:t xml:space="preserve">Resolução </w:t>
      </w:r>
      <w:proofErr w:type="gramStart"/>
      <w:r w:rsidRPr="005842F5">
        <w:rPr>
          <w:rFonts w:eastAsia="Calibri"/>
          <w:b/>
          <w:lang w:eastAsia="en-US"/>
        </w:rPr>
        <w:t>n.º</w:t>
      </w:r>
      <w:proofErr w:type="gramEnd"/>
      <w:r w:rsidRPr="005842F5">
        <w:rPr>
          <w:rFonts w:eastAsia="Calibri"/>
          <w:b/>
          <w:lang w:eastAsia="en-US"/>
        </w:rPr>
        <w:t xml:space="preserve"> 04, de 08 de novembro de 2023</w:t>
      </w:r>
    </w:p>
    <w:p w:rsidR="00596C40" w:rsidRPr="00D15E61" w:rsidRDefault="00596C40" w:rsidP="00AF4A49">
      <w:pPr>
        <w:spacing w:line="360" w:lineRule="auto"/>
        <w:jc w:val="center"/>
        <w:rPr>
          <w:rFonts w:eastAsia="Calibri"/>
          <w:b/>
          <w:kern w:val="2"/>
          <w:lang w:eastAsia="en-US"/>
        </w:rPr>
      </w:pPr>
    </w:p>
    <w:p w:rsidR="00596C40" w:rsidRPr="00D15E61" w:rsidRDefault="00554EA0" w:rsidP="00AF4A49">
      <w:pPr>
        <w:snapToGrid w:val="0"/>
        <w:spacing w:line="360" w:lineRule="auto"/>
        <w:ind w:right="-30"/>
        <w:jc w:val="both"/>
        <w:rPr>
          <w:rFonts w:eastAsia="Calibri"/>
          <w:kern w:val="2"/>
          <w:lang w:eastAsia="en-US"/>
        </w:rPr>
      </w:pPr>
      <w:r>
        <w:rPr>
          <w:rFonts w:eastAsia="Arial"/>
          <w:kern w:val="2"/>
          <w:lang w:eastAsia="en-US"/>
        </w:rPr>
        <w:t>A CÂMARA MUNICIPAL DE VARGEM GRANDE DO SUL</w:t>
      </w:r>
      <w:r w:rsidR="00596C40" w:rsidRPr="00D15E61">
        <w:rPr>
          <w:rFonts w:eastAsia="Calibri"/>
          <w:kern w:val="2"/>
          <w:lang w:eastAsia="en-US"/>
        </w:rPr>
        <w:t xml:space="preserve"> torna público que pretende adquirir ou contratar o objeto abaixo discriminado e tem interesse em obter </w:t>
      </w:r>
      <w:r w:rsidR="006117A1" w:rsidRPr="006117A1">
        <w:rPr>
          <w:rFonts w:eastAsia="Calibri"/>
          <w:b/>
          <w:kern w:val="2"/>
          <w:lang w:eastAsia="en-US"/>
        </w:rPr>
        <w:t xml:space="preserve">PROPOSTAS ADICIONAIS </w:t>
      </w:r>
      <w:r w:rsidR="00596C40" w:rsidRPr="00D15E61">
        <w:rPr>
          <w:rFonts w:eastAsia="Calibri"/>
          <w:kern w:val="2"/>
          <w:lang w:eastAsia="en-US"/>
        </w:rPr>
        <w:t>de eventuais interessados.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F03C3A" w:rsidRDefault="00596C40" w:rsidP="00AF4A49">
      <w:pPr>
        <w:spacing w:line="360" w:lineRule="auto"/>
        <w:jc w:val="both"/>
        <w:rPr>
          <w:rFonts w:eastAsia="Calibri"/>
          <w:color w:val="000000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Os interessados deverão apresentar proposta até o horário indicado abaixo através de formulário de proposta a ser endereçado para o </w:t>
      </w:r>
      <w:r w:rsidRPr="00EF1169">
        <w:rPr>
          <w:rFonts w:eastAsia="Calibri"/>
          <w:kern w:val="2"/>
          <w:lang w:eastAsia="en-US"/>
        </w:rPr>
        <w:t xml:space="preserve">e-mail: </w:t>
      </w:r>
      <w:hyperlink r:id="rId7" w:history="1">
        <w:proofErr w:type="spellStart"/>
        <w:r w:rsidRPr="00F03C3A">
          <w:rPr>
            <w:rStyle w:val="Hyperlink"/>
            <w:rFonts w:eastAsia="Calibri"/>
            <w:color w:val="000000"/>
            <w:kern w:val="2"/>
            <w:lang w:eastAsia="en-US"/>
          </w:rPr>
          <w:t>contabilcamara@vargemgrandedosu</w:t>
        </w:r>
        <w:proofErr w:type="spellEnd"/>
        <w:r w:rsidR="000D41FA">
          <w:rPr>
            <w:rStyle w:val="Hyperlink"/>
            <w:rFonts w:eastAsia="Calibri"/>
            <w:color w:val="000000"/>
            <w:kern w:val="2"/>
            <w:lang w:eastAsia="en-US"/>
          </w:rPr>
          <w:tab/>
        </w:r>
        <w:r w:rsidRPr="00F03C3A">
          <w:rPr>
            <w:rStyle w:val="Hyperlink"/>
            <w:rFonts w:eastAsia="Calibri"/>
            <w:color w:val="000000"/>
            <w:kern w:val="2"/>
            <w:lang w:eastAsia="en-US"/>
          </w:rPr>
          <w:t>l.sp.leg.br</w:t>
        </w:r>
      </w:hyperlink>
    </w:p>
    <w:p w:rsidR="00596C40" w:rsidRPr="00F03C3A" w:rsidRDefault="00596C40" w:rsidP="00AF4A49">
      <w:pPr>
        <w:spacing w:line="360" w:lineRule="auto"/>
        <w:rPr>
          <w:rFonts w:eastAsia="Calibri"/>
          <w:bCs/>
          <w:color w:val="000000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1. OBJETO: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7F4FA3" w:rsidRDefault="00554EA0" w:rsidP="00901ADD">
      <w:pPr>
        <w:numPr>
          <w:ilvl w:val="1"/>
          <w:numId w:val="4"/>
        </w:numPr>
        <w:spacing w:line="360" w:lineRule="auto"/>
        <w:jc w:val="both"/>
      </w:pPr>
      <w:r w:rsidRPr="007F4FA3">
        <w:rPr>
          <w:rFonts w:eastAsia="Calibri"/>
          <w:kern w:val="2"/>
          <w:lang w:eastAsia="en-US"/>
        </w:rPr>
        <w:t xml:space="preserve">  </w:t>
      </w:r>
      <w:r w:rsidR="00FD4C31">
        <w:t xml:space="preserve">Contratação empresa especializada em serviços de </w:t>
      </w:r>
      <w:r w:rsidR="00FD4C31" w:rsidRPr="005056A6">
        <w:t>Locação de produtos e montagem da Sessão Solene para entrega de títulos e honrarias e para a Sessão Solene de Instalação e Posse dos eleitos para os cargos de Prefeito, Vice-Prefeito e Vereador, no mandato de 2025-2028</w:t>
      </w:r>
      <w:r w:rsidR="00FD4C31">
        <w:t xml:space="preserve">, </w:t>
      </w:r>
      <w:r w:rsidR="00FD4C31" w:rsidRPr="00EF3C09">
        <w:t xml:space="preserve">nas condições estabelecidas no </w:t>
      </w:r>
      <w:r w:rsidR="00FD4C31" w:rsidRPr="00FD4C31">
        <w:rPr>
          <w:b/>
          <w:u w:val="single"/>
        </w:rPr>
        <w:t>Termo de Referência.</w:t>
      </w:r>
    </w:p>
    <w:p w:rsidR="007F4FA3" w:rsidRPr="007F4FA3" w:rsidRDefault="007F4FA3" w:rsidP="007F4FA3">
      <w:pPr>
        <w:spacing w:line="360" w:lineRule="auto"/>
        <w:ind w:left="408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2. DATA PARA APRESENTAÇÃO DA PROPOSTA: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2.1. Data limite para apresentação de novas propostas:</w:t>
      </w:r>
      <w:r w:rsidR="007F4FA3">
        <w:rPr>
          <w:rFonts w:eastAsia="Calibri"/>
          <w:b/>
          <w:kern w:val="2"/>
          <w:highlight w:val="yellow"/>
          <w:u w:val="single"/>
          <w:lang w:eastAsia="en-US"/>
        </w:rPr>
        <w:t xml:space="preserve"> </w:t>
      </w:r>
      <w:r w:rsidR="00D5339B">
        <w:rPr>
          <w:rFonts w:eastAsia="Calibri"/>
          <w:b/>
          <w:kern w:val="2"/>
          <w:highlight w:val="yellow"/>
          <w:u w:val="single"/>
          <w:lang w:eastAsia="en-US"/>
        </w:rPr>
        <w:t>11</w:t>
      </w:r>
      <w:bookmarkStart w:id="0" w:name="_GoBack"/>
      <w:bookmarkEnd w:id="0"/>
      <w:r w:rsidR="007F4FA3">
        <w:rPr>
          <w:rFonts w:eastAsia="Calibri"/>
          <w:b/>
          <w:kern w:val="2"/>
          <w:highlight w:val="yellow"/>
          <w:u w:val="single"/>
          <w:lang w:eastAsia="en-US"/>
        </w:rPr>
        <w:t>/11/2024</w:t>
      </w:r>
      <w:r w:rsidR="00FD4C31">
        <w:rPr>
          <w:rFonts w:eastAsia="Calibri"/>
          <w:b/>
          <w:kern w:val="2"/>
          <w:highlight w:val="yellow"/>
          <w:u w:val="single"/>
          <w:lang w:eastAsia="en-US"/>
        </w:rPr>
        <w:t xml:space="preserve"> às 23h59</w:t>
      </w:r>
      <w:r w:rsidR="009B27AF" w:rsidRPr="005D0475">
        <w:rPr>
          <w:rFonts w:eastAsia="Calibri"/>
          <w:b/>
          <w:kern w:val="2"/>
          <w:highlight w:val="yellow"/>
          <w:u w:val="single"/>
          <w:lang w:eastAsia="en-US"/>
        </w:rPr>
        <w:t>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3. PROPOSTA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3.1. O fornecedor interessado deverá encaminhar sua proposta devidamente assinada.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4. DOCUMENTOS DE HABILITAÇÃO: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lastRenderedPageBreak/>
        <w:t xml:space="preserve">4.1. Para fins de contratação, </w:t>
      </w:r>
      <w:r w:rsidRPr="009B27AF">
        <w:rPr>
          <w:rFonts w:eastAsia="Calibri"/>
          <w:b/>
          <w:kern w:val="2"/>
          <w:u w:val="single"/>
          <w:lang w:eastAsia="en-US"/>
        </w:rPr>
        <w:t>poderá</w:t>
      </w:r>
      <w:r w:rsidRPr="00EF1169">
        <w:rPr>
          <w:rFonts w:eastAsia="Calibri"/>
          <w:kern w:val="2"/>
          <w:lang w:eastAsia="en-US"/>
        </w:rPr>
        <w:t xml:space="preserve"> ser exigido do fornecedor</w:t>
      </w:r>
      <w:r w:rsidRPr="00D15E61">
        <w:rPr>
          <w:rFonts w:eastAsia="Calibri"/>
          <w:kern w:val="2"/>
          <w:lang w:eastAsia="en-US"/>
        </w:rPr>
        <w:t xml:space="preserve"> que apresentar o menor preço </w:t>
      </w:r>
      <w:r w:rsidR="006117A1">
        <w:rPr>
          <w:rFonts w:eastAsia="Calibri"/>
          <w:kern w:val="2"/>
          <w:lang w:eastAsia="en-US"/>
        </w:rPr>
        <w:t xml:space="preserve">global </w:t>
      </w:r>
      <w:r w:rsidRPr="00D15E61">
        <w:rPr>
          <w:rFonts w:eastAsia="Calibri"/>
          <w:kern w:val="2"/>
          <w:lang w:eastAsia="en-US"/>
        </w:rPr>
        <w:t>será convocado por e-mail para que no prazo de 24 (vinte e quaro) horas, apresente os seguintes documentos, sob pena de decair do direito de contratar: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 - Contrato social, requerimento de empresário individual, Estatuto Social, ou outro documento apto a comprovar a existência jurídica da proponente;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II - Inscrição no Cadastro de Pessoas Físicas (CPF) ou no Cadastro Nacional da Pessoa Jurídica (CNPJ);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 xml:space="preserve">III - Prova de regularidade perante a Fazenda Municipal (mobiliários), especialmente quando o proponente possuir domicílio ou sede no município de </w:t>
      </w:r>
      <w:r w:rsidR="009B27AF">
        <w:t>Vargem Grande do Sul/SP;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IV - Prova de regularidade relativa à Seguridade Social e ao FGTS, que demonstre cumprimento dos encargos sociais instituídos por lei;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 - Prova de regularidade perante a Justiça do Trabalho;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VI – Prova de regularidade com as Fazendas Federal e Estadual (inscritos em dívida ativa);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VII – Falência e recuperação judicial (vide Súmula 50 do TCESP) e</w:t>
      </w:r>
    </w:p>
    <w:p w:rsidR="00596C40" w:rsidRPr="00D15E61" w:rsidRDefault="00596C40" w:rsidP="00AF4A49">
      <w:pPr>
        <w:spacing w:line="360" w:lineRule="auto"/>
        <w:jc w:val="both"/>
      </w:pPr>
      <w:r w:rsidRPr="00D15E61">
        <w:t>VIII - Prova de registro ou inscrição na entidade profissional competente, quando for caso.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5. CONTRATAÇÃO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5.1.</w:t>
      </w:r>
      <w:r w:rsidRPr="00D15E61">
        <w:rPr>
          <w:rFonts w:eastAsia="Calibri"/>
          <w:b/>
          <w:bCs/>
          <w:kern w:val="2"/>
          <w:lang w:eastAsia="en-US"/>
        </w:rPr>
        <w:t xml:space="preserve"> </w:t>
      </w:r>
      <w:r w:rsidRPr="00D15E61">
        <w:rPr>
          <w:rFonts w:eastAsia="Calibri"/>
          <w:kern w:val="2"/>
          <w:lang w:eastAsia="en-US"/>
        </w:rPr>
        <w:t xml:space="preserve">Caso se conclua pela contratação e após a autorização da autoridade competente, será firmado Termo de Contrato ou emitido instrumento equivalente. O fornecedor vencedor </w:t>
      </w:r>
      <w:r w:rsidRPr="00D15E61">
        <w:rPr>
          <w:rFonts w:eastAsia="Calibri"/>
          <w:kern w:val="2"/>
          <w:lang w:eastAsia="en-US"/>
        </w:rPr>
        <w:lastRenderedPageBreak/>
        <w:t>da melhor proposta terá o prazo de 24 (vinte e quatro) horas para assinar o Termo de Contrato ou aceitar instrumento equivalente (nota de empenho ou autorização de fornecimento),</w:t>
      </w:r>
      <w:r w:rsidRPr="00D15E61">
        <w:rPr>
          <w:rFonts w:eastAsia="Calibri"/>
          <w:b/>
          <w:bCs/>
          <w:kern w:val="2"/>
          <w:lang w:eastAsia="en-US"/>
        </w:rPr>
        <w:t xml:space="preserve"> </w:t>
      </w:r>
      <w:r w:rsidRPr="00D15E61">
        <w:rPr>
          <w:rFonts w:eastAsia="Arial"/>
          <w:kern w:val="2"/>
          <w:lang w:eastAsia="en-US"/>
        </w:rPr>
        <w:t xml:space="preserve">sob pena de decair do direito à contratação, sem prejuízo das sanções previstas neste aviso. </w:t>
      </w: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  <w:r w:rsidRPr="00D15E61">
        <w:rPr>
          <w:rFonts w:eastAsia="Arial"/>
          <w:kern w:val="2"/>
          <w:lang w:eastAsia="en-US"/>
        </w:rPr>
        <w:t>5.2. O aceite da nota de empenho ou autorização de fornecimento, emitida ao fornecedor, implica no reconhecimento de que referido documento está substituindo o contrato, o contratado se vincula à sua proposta, às previsões contidas no Aviso de Contratação e anexos</w:t>
      </w:r>
      <w:r w:rsidR="006117A1">
        <w:rPr>
          <w:rFonts w:eastAsia="Arial"/>
          <w:kern w:val="2"/>
          <w:lang w:eastAsia="en-US"/>
        </w:rPr>
        <w:t xml:space="preserve">, em especial o </w:t>
      </w:r>
      <w:r w:rsidR="006117A1" w:rsidRPr="00AF4A49">
        <w:rPr>
          <w:rFonts w:eastAsia="Arial"/>
          <w:b/>
          <w:kern w:val="2"/>
          <w:u w:val="single"/>
          <w:lang w:eastAsia="en-US"/>
        </w:rPr>
        <w:t>TERMO DE REFERÊNCIA</w:t>
      </w:r>
      <w:r w:rsidRPr="00D15E61">
        <w:rPr>
          <w:rFonts w:eastAsia="Arial"/>
          <w:kern w:val="2"/>
          <w:lang w:eastAsia="en-US"/>
        </w:rPr>
        <w:t>, e o contratado reconhece que as hipóteses de rescisão são aquelas previstas nos artigos 137 a 138 da Lei 14.133/21 e reconhece os direitos da Administração previstos nos artigos 137 e 139 da mesma lei.</w:t>
      </w:r>
    </w:p>
    <w:p w:rsidR="00596C40" w:rsidRPr="00D15E61" w:rsidRDefault="00596C40" w:rsidP="00AF4A49">
      <w:pPr>
        <w:shd w:val="clear" w:color="auto" w:fill="FFFFFF"/>
        <w:spacing w:line="360" w:lineRule="auto"/>
        <w:jc w:val="both"/>
        <w:rPr>
          <w:rFonts w:eastAsia="Arial"/>
        </w:rPr>
      </w:pPr>
    </w:p>
    <w:p w:rsidR="00596C40" w:rsidRPr="00D15E61" w:rsidRDefault="00596C40" w:rsidP="00AF4A49">
      <w:pPr>
        <w:shd w:val="clear" w:color="auto" w:fill="FFFFFF"/>
        <w:spacing w:line="360" w:lineRule="auto"/>
        <w:jc w:val="both"/>
      </w:pPr>
      <w:r w:rsidRPr="00D15E61">
        <w:rPr>
          <w:rFonts w:eastAsia="Arial"/>
        </w:rPr>
        <w:t xml:space="preserve">5.3. </w:t>
      </w:r>
      <w:r w:rsidRPr="00D15E61">
        <w:t>As condições de habilitação deverão ser mantidas pelo fornecedor durante a vigência do contrato, inclusive para fins de pagamento.</w:t>
      </w: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Arial"/>
          <w:kern w:val="2"/>
          <w:lang w:eastAsia="en-US"/>
        </w:rPr>
        <w:t xml:space="preserve">5.4. Comete infração </w:t>
      </w:r>
      <w:r w:rsidRPr="00D15E61">
        <w:rPr>
          <w:rFonts w:eastAsia="Calibri"/>
          <w:kern w:val="2"/>
          <w:lang w:eastAsia="en-US"/>
        </w:rPr>
        <w:t>administrativa o fornecedor que cometer quaisquer das infrações previstas no art. 155 da Lei nº 14.133/2021 e ficará sujeito as seguintes sanções: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Advertência, quando não se justificar a imposição de penalidade mais grave;</w:t>
      </w:r>
    </w:p>
    <w:p w:rsidR="00596C40" w:rsidRPr="00D15E61" w:rsidRDefault="00596C40" w:rsidP="00AF4A49">
      <w:pPr>
        <w:spacing w:line="360" w:lineRule="auto"/>
        <w:ind w:left="36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Multa;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Impedimento de licitar e contratar no âmbito da Administração, pelo prazo máximo de 3 (três) anos; e 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Declaração de inidoneidade para licitar ou contratar, que impedirá o responsável de licitar ou contratar no âmbito da Administração Pública pelo prazo mínimo de 3 (três) anos e máximo de 6 (seis) anos.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lastRenderedPageBreak/>
        <w:t xml:space="preserve">5.5. Quando do atraso injustificado na execução do contrato de prestação de serviços, na execução de obra ou na entrega de materiais, sem prejuízo das demais sanções dispostas no </w:t>
      </w:r>
      <w:r w:rsidRPr="00D15E61">
        <w:rPr>
          <w:rFonts w:eastAsia="Calibri"/>
          <w:i/>
          <w:iCs/>
          <w:kern w:val="2"/>
          <w:lang w:eastAsia="en-US"/>
        </w:rPr>
        <w:t>caput</w:t>
      </w:r>
      <w:r w:rsidRPr="00D15E61">
        <w:rPr>
          <w:rFonts w:eastAsia="Calibri"/>
          <w:kern w:val="2"/>
          <w:lang w:eastAsia="en-US"/>
        </w:rPr>
        <w:t xml:space="preserve"> do art. 156 da Lei 14.133/2021, sujeitando a contratada à multa de mora calculada sobre o valor da obrigação não cumprida, a partir do primeiro dia útil seguinte ao término do prazo estipulado: </w:t>
      </w:r>
    </w:p>
    <w:p w:rsidR="00596C40" w:rsidRDefault="00596C40" w:rsidP="00AF4A49">
      <w:pPr>
        <w:pStyle w:val="PargrafodaLista"/>
        <w:suppressAutoHyphens w:val="0"/>
        <w:spacing w:line="360" w:lineRule="auto"/>
        <w:ind w:left="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de</w:t>
      </w:r>
      <w:proofErr w:type="gramEnd"/>
      <w:r w:rsidRPr="00D15E61">
        <w:rPr>
          <w:rFonts w:eastAsia="Calibri"/>
          <w:kern w:val="2"/>
          <w:lang w:eastAsia="en-US"/>
        </w:rPr>
        <w:t xml:space="preserve"> 0,5% (meio por cento) ao dia, para atraso de até 15 (quinze) dias corridos;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superados</w:t>
      </w:r>
      <w:proofErr w:type="gramEnd"/>
      <w:r w:rsidRPr="00D15E61">
        <w:rPr>
          <w:rFonts w:eastAsia="Calibri"/>
          <w:kern w:val="2"/>
          <w:lang w:eastAsia="en-US"/>
        </w:rPr>
        <w:t xml:space="preserve"> os 15 (quinze) dias corridos, a partir do 16º a multa será de 1% (um por cento) ao dia, limitado a 30 (trinta) dias corridos e aplicada em acréscimo à da alínea “a”; 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após</w:t>
      </w:r>
      <w:proofErr w:type="gramEnd"/>
      <w:r w:rsidRPr="00D15E61">
        <w:rPr>
          <w:rFonts w:eastAsia="Calibri"/>
          <w:kern w:val="2"/>
          <w:lang w:eastAsia="en-US"/>
        </w:rPr>
        <w:t xml:space="preserve"> 30 (trinta) dias corridos, fica caracterizada a inexecução parcial ou total, conforme o caso, aplicando-se o disposto no inciso 5.6, cumulativamente a este.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5.6. Quando da inexecução total ou parcial das obrigações contratuais, relacionadas quer à entrega do objeto, quer à de documentos exigidos no edital, ou outras infrações arroladas no art. 155 da Lei 14.133/2021, conforme o caso: </w:t>
      </w:r>
    </w:p>
    <w:p w:rsidR="006117A1" w:rsidRPr="00D15E61" w:rsidRDefault="006117A1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a) aplicação de multa correspondente a 30% (trinta por cento por cento) sobre o valor do contrato licitado ou celebrado; ou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shd w:val="clear" w:color="auto" w:fill="FFFFFF"/>
          <w:lang w:eastAsia="en-US"/>
        </w:rPr>
      </w:pPr>
      <w:r w:rsidRPr="00D15E61">
        <w:rPr>
          <w:rFonts w:eastAsia="Calibri"/>
          <w:kern w:val="2"/>
          <w:lang w:eastAsia="en-US"/>
        </w:rPr>
        <w:t>b) pagamento correspondente à diferença de preço decorrente de nova licitação para o mesmo fim.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shd w:val="clear" w:color="auto" w:fill="FFFFFF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shd w:val="clear" w:color="auto" w:fill="FFFFFF"/>
          <w:lang w:eastAsia="en-US"/>
        </w:rPr>
        <w:t>5.7. Quando o adjudicatário recusar a</w:t>
      </w:r>
      <w:r w:rsidRPr="00D15E61">
        <w:rPr>
          <w:rFonts w:eastAsia="Calibri"/>
          <w:kern w:val="2"/>
          <w:lang w:eastAsia="en-US"/>
        </w:rPr>
        <w:t>ssinar o contrato, aceitar ou retirar instrumento equivalent</w:t>
      </w:r>
      <w:r>
        <w:rPr>
          <w:rFonts w:eastAsia="Calibri"/>
          <w:kern w:val="2"/>
          <w:lang w:eastAsia="en-US"/>
        </w:rPr>
        <w:t>e, dentro do prazo estabelecido.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multa</w:t>
      </w:r>
      <w:proofErr w:type="gramEnd"/>
      <w:r w:rsidRPr="00D15E61">
        <w:rPr>
          <w:rFonts w:eastAsia="Calibri"/>
          <w:kern w:val="2"/>
          <w:lang w:eastAsia="en-US"/>
        </w:rPr>
        <w:t xml:space="preserve"> de 25% (vinte e cinco por cento) sobre o valor do contrato; ou, </w:t>
      </w:r>
    </w:p>
    <w:p w:rsidR="00596C40" w:rsidRPr="00D15E61" w:rsidRDefault="00596C40" w:rsidP="00AF4A49">
      <w:pPr>
        <w:spacing w:line="360" w:lineRule="auto"/>
        <w:ind w:left="36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lastRenderedPageBreak/>
        <w:t>pagamento</w:t>
      </w:r>
      <w:proofErr w:type="gramEnd"/>
      <w:r w:rsidRPr="00D15E61">
        <w:rPr>
          <w:rFonts w:eastAsia="Calibri"/>
          <w:kern w:val="2"/>
          <w:lang w:eastAsia="en-US"/>
        </w:rPr>
        <w:t xml:space="preserve"> correspondente à diferença de preço decorrente de nova </w:t>
      </w:r>
      <w:r w:rsidRPr="00EF1169">
        <w:rPr>
          <w:rFonts w:eastAsia="Calibri"/>
          <w:kern w:val="2"/>
          <w:lang w:eastAsia="en-US"/>
        </w:rPr>
        <w:t>contratação</w:t>
      </w:r>
      <w:r>
        <w:rPr>
          <w:rFonts w:eastAsia="Calibri"/>
          <w:kern w:val="2"/>
          <w:lang w:eastAsia="en-US"/>
        </w:rPr>
        <w:t xml:space="preserve"> </w:t>
      </w:r>
      <w:r w:rsidRPr="00D15E61">
        <w:rPr>
          <w:rFonts w:eastAsia="Calibri"/>
          <w:kern w:val="2"/>
          <w:lang w:eastAsia="en-US"/>
        </w:rPr>
        <w:t>para o mesmo fim;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6. DISPOSIÇÕES GERAIS: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6.1. A apresentação da proposta implica obrigatoriedade do cumprimento das disposições nelas contidas, em conformidade com o que dispõe </w:t>
      </w:r>
      <w:r w:rsidR="009B27AF">
        <w:rPr>
          <w:rFonts w:eastAsia="Calibri"/>
          <w:kern w:val="2"/>
          <w:lang w:eastAsia="en-US"/>
        </w:rPr>
        <w:t xml:space="preserve">o </w:t>
      </w:r>
      <w:r w:rsidR="009B27AF" w:rsidRPr="00AF4A49">
        <w:rPr>
          <w:rFonts w:eastAsia="Calibri"/>
          <w:b/>
          <w:kern w:val="2"/>
          <w:u w:val="single"/>
          <w:lang w:eastAsia="en-US"/>
        </w:rPr>
        <w:t>TERMO DE REFERÊNCIA</w:t>
      </w:r>
      <w:r w:rsidR="009B27AF">
        <w:rPr>
          <w:rFonts w:eastAsia="Calibri"/>
          <w:kern w:val="2"/>
          <w:lang w:eastAsia="en-US"/>
        </w:rPr>
        <w:t>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6.2. Uma vez enviada a proposta por e-mail, o fornecedor NÃO poderá substitu</w:t>
      </w:r>
      <w:r w:rsidR="006117A1">
        <w:rPr>
          <w:rFonts w:eastAsia="Calibri"/>
          <w:kern w:val="2"/>
          <w:lang w:eastAsia="en-US"/>
        </w:rPr>
        <w:t>í</w:t>
      </w:r>
      <w:r w:rsidRPr="00D15E61">
        <w:rPr>
          <w:rFonts w:eastAsia="Calibri"/>
          <w:kern w:val="2"/>
          <w:lang w:eastAsia="en-US"/>
        </w:rPr>
        <w:t>-la, podendo, contudo, solicitar o seu cancelamento por meio de mensagem para o mesmo e-mail da proposta desde que devidamente justificado.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6.3. A apresentação de propostas adicionais não implica na necessidade </w:t>
      </w:r>
      <w:r w:rsidR="009B27AF" w:rsidRPr="00D15E61">
        <w:rPr>
          <w:rFonts w:eastAsia="Calibri"/>
          <w:kern w:val="2"/>
          <w:lang w:eastAsia="en-US"/>
        </w:rPr>
        <w:t>de a</w:t>
      </w:r>
      <w:r w:rsidRPr="00D15E61">
        <w:rPr>
          <w:rFonts w:eastAsia="Calibri"/>
          <w:kern w:val="2"/>
          <w:lang w:eastAsia="en-US"/>
        </w:rPr>
        <w:t xml:space="preserve"> Administração adquirir ou contratar do fornecedor proponente podendo, se for o caso, contratar fornecedor que eventualmente tenha apresentado proposta de melhor preço por ocasião da realização da pesquisa de preços.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6.4. Caberá ao fornecedor acompanhar as operações, ficando responsável pelo ônus decorrente da perda do negócio diante da inobservância de quaisquer mensagens emitidas pela Administração ou de sua desconexão.</w:t>
      </w:r>
    </w:p>
    <w:p w:rsidR="009B27AF" w:rsidRPr="00D15E61" w:rsidRDefault="009B27AF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Default="009B27AF" w:rsidP="00AF4A49">
      <w:pPr>
        <w:spacing w:line="360" w:lineRule="auto"/>
        <w:jc w:val="right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Vargem Grande do Sul, </w:t>
      </w:r>
      <w:r w:rsidR="007F4FA3">
        <w:rPr>
          <w:rFonts w:eastAsia="Calibri"/>
          <w:kern w:val="2"/>
          <w:lang w:eastAsia="en-US"/>
        </w:rPr>
        <w:t>31 de outubro</w:t>
      </w:r>
      <w:r w:rsidR="006117A1">
        <w:rPr>
          <w:rFonts w:eastAsia="Calibri"/>
          <w:kern w:val="2"/>
          <w:lang w:eastAsia="en-US"/>
        </w:rPr>
        <w:t xml:space="preserve"> de 2024.</w:t>
      </w:r>
    </w:p>
    <w:p w:rsidR="006117A1" w:rsidRPr="00D15E61" w:rsidRDefault="006117A1" w:rsidP="00AF4A49">
      <w:pPr>
        <w:spacing w:line="360" w:lineRule="auto"/>
        <w:jc w:val="center"/>
        <w:rPr>
          <w:rFonts w:eastAsia="Calibri"/>
          <w:b/>
          <w:bCs/>
          <w:iCs/>
          <w:kern w:val="2"/>
          <w:lang w:eastAsia="en-US"/>
        </w:rPr>
      </w:pPr>
    </w:p>
    <w:p w:rsidR="00F15305" w:rsidRDefault="00F15305" w:rsidP="00AF4A49">
      <w:pPr>
        <w:spacing w:line="360" w:lineRule="auto"/>
      </w:pPr>
    </w:p>
    <w:p w:rsidR="006117A1" w:rsidRDefault="006117A1" w:rsidP="00AF4A49">
      <w:pPr>
        <w:spacing w:line="360" w:lineRule="auto"/>
      </w:pPr>
    </w:p>
    <w:p w:rsidR="00AF4A49" w:rsidRDefault="00AF4A49" w:rsidP="00AF4A49">
      <w:pPr>
        <w:spacing w:line="360" w:lineRule="auto"/>
      </w:pPr>
    </w:p>
    <w:p w:rsidR="006117A1" w:rsidRDefault="006117A1" w:rsidP="00AF4A49">
      <w:pPr>
        <w:spacing w:line="360" w:lineRule="auto"/>
        <w:jc w:val="center"/>
      </w:pPr>
      <w:r>
        <w:t>________________________________________________</w:t>
      </w:r>
    </w:p>
    <w:p w:rsidR="006117A1" w:rsidRPr="006117A1" w:rsidRDefault="006117A1" w:rsidP="00AF4A49">
      <w:pPr>
        <w:spacing w:line="360" w:lineRule="auto"/>
        <w:jc w:val="center"/>
        <w:rPr>
          <w:b/>
        </w:rPr>
      </w:pPr>
      <w:r w:rsidRPr="006117A1">
        <w:rPr>
          <w:b/>
        </w:rPr>
        <w:t>DANUTTA DE FIGUEIREDO FALCÃO ROSSETO</w:t>
      </w:r>
    </w:p>
    <w:p w:rsidR="006117A1" w:rsidRPr="006117A1" w:rsidRDefault="006117A1" w:rsidP="00AF4A49">
      <w:pPr>
        <w:spacing w:line="360" w:lineRule="auto"/>
        <w:jc w:val="center"/>
        <w:rPr>
          <w:b/>
        </w:rPr>
      </w:pPr>
      <w:r w:rsidRPr="006117A1">
        <w:rPr>
          <w:b/>
        </w:rPr>
        <w:t>PRESIDENTE DA CÂMARA</w:t>
      </w:r>
    </w:p>
    <w:sectPr w:rsidR="006117A1" w:rsidRPr="006117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DF" w:rsidRDefault="008C57DF" w:rsidP="00596C40">
      <w:r>
        <w:separator/>
      </w:r>
    </w:p>
  </w:endnote>
  <w:endnote w:type="continuationSeparator" w:id="0">
    <w:p w:rsidR="008C57DF" w:rsidRDefault="008C57DF" w:rsidP="0059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DF" w:rsidRDefault="008C57DF" w:rsidP="00596C40">
      <w:r>
        <w:separator/>
      </w:r>
    </w:p>
  </w:footnote>
  <w:footnote w:type="continuationSeparator" w:id="0">
    <w:p w:rsidR="008C57DF" w:rsidRDefault="008C57DF" w:rsidP="0059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40" w:rsidRDefault="00596C40" w:rsidP="00596C40">
    <w:pPr>
      <w:ind w:right="-856"/>
      <w:jc w:val="center"/>
      <w:rPr>
        <w:b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EED6E" wp14:editId="34C772C6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112395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  <w:u w:val="single"/>
      </w:rPr>
      <w:t>Câmara Municipal de Vargem Grande do Sul</w:t>
    </w:r>
  </w:p>
  <w:p w:rsidR="00596C40" w:rsidRDefault="00596C40" w:rsidP="00596C40">
    <w:pPr>
      <w:ind w:right="-856"/>
      <w:jc w:val="center"/>
    </w:pPr>
    <w:r>
      <w:t>CNPJ: 54.683.818/0001-85</w:t>
    </w:r>
  </w:p>
  <w:p w:rsidR="00596C40" w:rsidRDefault="00596C40" w:rsidP="00596C40">
    <w:pPr>
      <w:ind w:right="-856"/>
      <w:jc w:val="center"/>
    </w:pPr>
    <w:r>
      <w:t>Praça Washington Luís, 665 – Centro / Telefax: (0-19) 3641-1763</w:t>
    </w:r>
  </w:p>
  <w:p w:rsidR="00596C40" w:rsidRDefault="00596C40" w:rsidP="00596C40">
    <w:pPr>
      <w:ind w:right="-856"/>
      <w:jc w:val="center"/>
    </w:pPr>
    <w:r>
      <w:t>CEP: 13.880-000 – Vargem Grande do Sul – SP</w:t>
    </w:r>
  </w:p>
  <w:p w:rsidR="00596C40" w:rsidRDefault="00596C40" w:rsidP="00596C40">
    <w:pPr>
      <w:ind w:right="-856"/>
      <w:jc w:val="center"/>
    </w:pPr>
    <w:bookmarkStart w:id="1" w:name="OLE_LINK1"/>
    <w:bookmarkStart w:id="2" w:name="OLE_LINK2"/>
    <w:bookmarkStart w:id="3" w:name="OLE_LINK3"/>
    <w:proofErr w:type="gramStart"/>
    <w:r>
      <w:t>www.vargemgrandedosul.sp.leg.br</w:t>
    </w:r>
    <w:bookmarkEnd w:id="1"/>
    <w:bookmarkEnd w:id="2"/>
    <w:bookmarkEnd w:id="3"/>
    <w:r>
      <w:t xml:space="preserve">  -</w:t>
    </w:r>
    <w:proofErr w:type="gramEnd"/>
    <w:r>
      <w:t xml:space="preserve">  E-mail: </w:t>
    </w:r>
    <w:r w:rsidR="006117A1">
      <w:t>presidenciacamara</w:t>
    </w:r>
    <w:r>
      <w:t>@vargemgrandedosul.sp.leg.br</w:t>
    </w:r>
  </w:p>
  <w:p w:rsidR="00596C40" w:rsidRDefault="00596C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AC5"/>
    <w:multiLevelType w:val="hybridMultilevel"/>
    <w:tmpl w:val="E774E6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133"/>
    <w:multiLevelType w:val="hybridMultilevel"/>
    <w:tmpl w:val="E9C23E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7C1B"/>
    <w:multiLevelType w:val="hybridMultilevel"/>
    <w:tmpl w:val="8D4890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54E70"/>
    <w:multiLevelType w:val="multilevel"/>
    <w:tmpl w:val="ABF682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40"/>
    <w:rsid w:val="00023FB1"/>
    <w:rsid w:val="000C0B77"/>
    <w:rsid w:val="000D41FA"/>
    <w:rsid w:val="000E3C23"/>
    <w:rsid w:val="001568AF"/>
    <w:rsid w:val="001D62C3"/>
    <w:rsid w:val="002A2EC5"/>
    <w:rsid w:val="003353DB"/>
    <w:rsid w:val="003A62E8"/>
    <w:rsid w:val="003B770E"/>
    <w:rsid w:val="003D74AC"/>
    <w:rsid w:val="00554EA0"/>
    <w:rsid w:val="00596C40"/>
    <w:rsid w:val="005D0475"/>
    <w:rsid w:val="005E1E92"/>
    <w:rsid w:val="006117A1"/>
    <w:rsid w:val="007F4FA3"/>
    <w:rsid w:val="008A48A0"/>
    <w:rsid w:val="008C57DF"/>
    <w:rsid w:val="009B27AF"/>
    <w:rsid w:val="00A55896"/>
    <w:rsid w:val="00A945E4"/>
    <w:rsid w:val="00AF4A49"/>
    <w:rsid w:val="00B503F7"/>
    <w:rsid w:val="00C778D7"/>
    <w:rsid w:val="00D3534B"/>
    <w:rsid w:val="00D5339B"/>
    <w:rsid w:val="00E01719"/>
    <w:rsid w:val="00E7582E"/>
    <w:rsid w:val="00F15305"/>
    <w:rsid w:val="00F32970"/>
    <w:rsid w:val="00F964C0"/>
    <w:rsid w:val="00FD4C31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34E6"/>
  <w15:chartTrackingRefBased/>
  <w15:docId w15:val="{0AB6EBC7-0974-42BC-A598-F32E02B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3A62E8"/>
    <w:pPr>
      <w:spacing w:before="360" w:after="360" w:line="360" w:lineRule="auto"/>
      <w:ind w:left="2268"/>
      <w:contextualSpacing/>
      <w:jc w:val="both"/>
    </w:pPr>
  </w:style>
  <w:style w:type="character" w:styleId="Hyperlink">
    <w:name w:val="Hyperlink"/>
    <w:rsid w:val="00596C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96C40"/>
    <w:pPr>
      <w:suppressAutoHyphens/>
      <w:ind w:left="720"/>
      <w:contextualSpacing/>
    </w:pPr>
    <w:rPr>
      <w:u w:color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96C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C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6C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6C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E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bilcamara@vargemgrandedosul.sp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3</cp:revision>
  <cp:lastPrinted>2024-11-05T22:20:00Z</cp:lastPrinted>
  <dcterms:created xsi:type="dcterms:W3CDTF">2024-10-30T17:35:00Z</dcterms:created>
  <dcterms:modified xsi:type="dcterms:W3CDTF">2024-11-05T22:47:00Z</dcterms:modified>
</cp:coreProperties>
</file>